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576E2" w14:textId="77777777" w:rsidR="00C02199" w:rsidRDefault="00E0004E">
      <w:pPr>
        <w:pStyle w:val="BodyText"/>
        <w:ind w:right="109"/>
        <w:jc w:val="both"/>
        <w:rPr>
          <w:b/>
          <w:color w:val="ED7D31" w:themeColor="accent2"/>
        </w:rPr>
      </w:pPr>
      <w:r>
        <w:rPr>
          <w:b/>
          <w:color w:val="ED7D31" w:themeColor="accent2"/>
        </w:rPr>
        <w:t>Case study No. 1</w:t>
      </w:r>
    </w:p>
    <w:p w14:paraId="570E90D8" w14:textId="77777777" w:rsidR="00C02199" w:rsidRDefault="00C02199">
      <w:pPr>
        <w:pStyle w:val="BodyText"/>
        <w:ind w:right="109"/>
        <w:jc w:val="both"/>
      </w:pPr>
    </w:p>
    <w:p w14:paraId="64D79904" w14:textId="77777777" w:rsidR="00C02199" w:rsidRDefault="00E0004E">
      <w:pPr>
        <w:pStyle w:val="BodyText"/>
        <w:ind w:right="109"/>
        <w:jc w:val="both"/>
        <w:rPr>
          <w:b/>
        </w:rPr>
      </w:pPr>
      <w:r>
        <w:rPr>
          <w:b/>
        </w:rPr>
        <w:t>GMP (</w:t>
      </w:r>
      <w:r>
        <w:rPr>
          <w:b/>
          <w:lang w:val="en-GB"/>
        </w:rPr>
        <w:t>intended food/feed uses</w:t>
      </w:r>
      <w:r>
        <w:rPr>
          <w:b/>
        </w:rPr>
        <w:t>)</w:t>
      </w:r>
    </w:p>
    <w:p w14:paraId="3E161388" w14:textId="77777777" w:rsidR="00C02199" w:rsidRDefault="00C02199">
      <w:pPr>
        <w:pStyle w:val="BodyText"/>
        <w:ind w:right="109"/>
        <w:jc w:val="both"/>
      </w:pPr>
    </w:p>
    <w:p w14:paraId="6FF82384" w14:textId="77777777" w:rsidR="00C02199" w:rsidRDefault="00E0004E">
      <w:pPr>
        <w:pStyle w:val="BodyText"/>
        <w:numPr>
          <w:ilvl w:val="0"/>
          <w:numId w:val="4"/>
        </w:numPr>
        <w:ind w:left="584" w:right="108" w:hanging="357"/>
        <w:jc w:val="both"/>
      </w:pPr>
      <w:r>
        <w:t>Organism: oilseed rape (</w:t>
      </w:r>
      <w:r>
        <w:rPr>
          <w:b/>
          <w:color w:val="ED7D31" w:themeColor="accent2"/>
        </w:rPr>
        <w:t>OSR</w:t>
      </w:r>
      <w:r>
        <w:t>)</w:t>
      </w:r>
    </w:p>
    <w:p w14:paraId="1D777A5D" w14:textId="77777777" w:rsidR="00C02199" w:rsidRDefault="00E0004E">
      <w:pPr>
        <w:pStyle w:val="BodyText"/>
        <w:numPr>
          <w:ilvl w:val="0"/>
          <w:numId w:val="4"/>
        </w:numPr>
        <w:ind w:left="584" w:right="108" w:hanging="357"/>
        <w:jc w:val="both"/>
      </w:pPr>
      <w:r>
        <w:t xml:space="preserve">Trait(s): </w:t>
      </w:r>
      <w:r>
        <w:rPr>
          <w:b/>
          <w:color w:val="ED7D31" w:themeColor="accent2"/>
        </w:rPr>
        <w:t>fatty acid pattern</w:t>
      </w:r>
    </w:p>
    <w:p w14:paraId="0B9DFB8F" w14:textId="77777777" w:rsidR="00C02199" w:rsidRDefault="00E0004E">
      <w:pPr>
        <w:pStyle w:val="BodyText"/>
        <w:numPr>
          <w:ilvl w:val="0"/>
          <w:numId w:val="4"/>
        </w:numPr>
        <w:ind w:left="584" w:right="108" w:hanging="357"/>
        <w:jc w:val="both"/>
      </w:pPr>
      <w:r>
        <w:t xml:space="preserve">Genetic modification: trait and </w:t>
      </w:r>
      <w:r>
        <w:rPr>
          <w:b/>
          <w:color w:val="ED7D31" w:themeColor="accent2"/>
        </w:rPr>
        <w:t>herbicide tolerance</w:t>
      </w:r>
      <w:r>
        <w:t xml:space="preserve"> of agronomic relevance</w:t>
      </w:r>
    </w:p>
    <w:p w14:paraId="46C85226" w14:textId="77777777" w:rsidR="00C02199" w:rsidRDefault="00E0004E">
      <w:pPr>
        <w:pStyle w:val="BodyText"/>
        <w:numPr>
          <w:ilvl w:val="0"/>
          <w:numId w:val="4"/>
        </w:numPr>
        <w:ind w:left="584" w:right="108" w:hanging="357"/>
        <w:jc w:val="both"/>
      </w:pPr>
      <w:r>
        <w:t xml:space="preserve">Conditions of release: </w:t>
      </w:r>
      <w:r>
        <w:rPr>
          <w:b/>
          <w:color w:val="ED7D31" w:themeColor="accent2"/>
        </w:rPr>
        <w:t>seeds</w:t>
      </w:r>
      <w:r>
        <w:t xml:space="preserve"> are transported and processed to oil (food) and rapeseed cake (feed)</w:t>
      </w:r>
    </w:p>
    <w:p w14:paraId="0E04544C" w14:textId="77777777" w:rsidR="00C02199" w:rsidRDefault="00C02199">
      <w:pPr>
        <w:pStyle w:val="BodyText"/>
        <w:ind w:right="109"/>
        <w:jc w:val="both"/>
      </w:pPr>
    </w:p>
    <w:p w14:paraId="5722AEF1" w14:textId="77777777" w:rsidR="00C02199" w:rsidRDefault="00E0004E">
      <w:pPr>
        <w:pStyle w:val="BodyText"/>
        <w:ind w:right="109"/>
        <w:jc w:val="both"/>
        <w:rPr>
          <w:b/>
        </w:rPr>
      </w:pPr>
      <w:r>
        <w:rPr>
          <w:b/>
        </w:rPr>
        <w:t>Information with respect to exposure</w:t>
      </w:r>
    </w:p>
    <w:p w14:paraId="689E2A64" w14:textId="77777777" w:rsidR="00C02199" w:rsidRDefault="00C02199">
      <w:pPr>
        <w:pStyle w:val="BodyText"/>
        <w:ind w:right="109"/>
        <w:jc w:val="both"/>
      </w:pPr>
    </w:p>
    <w:p w14:paraId="16CD2C2D" w14:textId="77777777" w:rsidR="00C02199" w:rsidRDefault="00E0004E">
      <w:pPr>
        <w:pStyle w:val="BodyText"/>
        <w:ind w:right="108"/>
        <w:jc w:val="both"/>
      </w:pPr>
      <w:r>
        <w:t>GMP</w:t>
      </w:r>
    </w:p>
    <w:p w14:paraId="582478C3" w14:textId="77777777" w:rsidR="00C02199" w:rsidRDefault="00E0004E">
      <w:pPr>
        <w:pStyle w:val="BodyText"/>
        <w:numPr>
          <w:ilvl w:val="0"/>
          <w:numId w:val="8"/>
        </w:numPr>
        <w:spacing w:before="60"/>
        <w:ind w:left="714" w:right="108" w:hanging="357"/>
        <w:jc w:val="both"/>
      </w:pPr>
      <w:r>
        <w:rPr>
          <w:i/>
        </w:rPr>
        <w:t>organism (recipient, parental plant, comparator):</w:t>
      </w:r>
      <w:r>
        <w:t xml:space="preserve"> oilseed rape</w:t>
      </w:r>
    </w:p>
    <w:p w14:paraId="0A39B672" w14:textId="77777777" w:rsidR="00C02199" w:rsidRDefault="00E0004E">
      <w:pPr>
        <w:pStyle w:val="BodyText"/>
        <w:numPr>
          <w:ilvl w:val="0"/>
          <w:numId w:val="8"/>
        </w:numPr>
        <w:spacing w:before="60" w:after="60"/>
        <w:ind w:left="714" w:right="108" w:hanging="357"/>
        <w:jc w:val="both"/>
      </w:pPr>
      <w:r>
        <w:rPr>
          <w:i/>
        </w:rPr>
        <w:t>differences of GMP compared to comparator:</w:t>
      </w:r>
      <w:r>
        <w:t xml:space="preserve"> fatty acid pattern, tolerance to herbicide authorized and used in EU plant production</w:t>
      </w:r>
    </w:p>
    <w:p w14:paraId="6318F294" w14:textId="77777777" w:rsidR="00C02199" w:rsidRDefault="00E0004E">
      <w:pPr>
        <w:pStyle w:val="BodyText"/>
        <w:spacing w:after="60"/>
        <w:ind w:right="108"/>
        <w:jc w:val="both"/>
      </w:pPr>
      <w:r>
        <w:t>Interaction of GMP with environment</w:t>
      </w:r>
    </w:p>
    <w:p w14:paraId="4F1EF653" w14:textId="77777777" w:rsidR="00C02199" w:rsidRDefault="00E0004E">
      <w:pPr>
        <w:pStyle w:val="BodyText"/>
        <w:numPr>
          <w:ilvl w:val="0"/>
          <w:numId w:val="9"/>
        </w:numPr>
        <w:spacing w:after="60"/>
        <w:ind w:right="108"/>
        <w:jc w:val="both"/>
      </w:pPr>
      <w:r>
        <w:t>crop is cultivated in EU</w:t>
      </w:r>
    </w:p>
    <w:p w14:paraId="71DCB0D5" w14:textId="77777777" w:rsidR="00C02199" w:rsidRDefault="00E0004E">
      <w:pPr>
        <w:pStyle w:val="BodyText"/>
        <w:numPr>
          <w:ilvl w:val="0"/>
          <w:numId w:val="9"/>
        </w:numPr>
        <w:spacing w:after="60"/>
        <w:ind w:right="108"/>
        <w:jc w:val="both"/>
      </w:pPr>
      <w:r>
        <w:t>weed characteristics (ruderal flora, regular volunteer, seed dormancy)</w:t>
      </w:r>
    </w:p>
    <w:p w14:paraId="3A78BDAF" w14:textId="77777777" w:rsidR="00C02199" w:rsidRDefault="00E0004E">
      <w:pPr>
        <w:pStyle w:val="BodyText"/>
        <w:numPr>
          <w:ilvl w:val="0"/>
          <w:numId w:val="9"/>
        </w:numPr>
        <w:spacing w:after="60"/>
        <w:ind w:right="108"/>
        <w:jc w:val="both"/>
      </w:pPr>
      <w:r>
        <w:t>weak hybridization potential to several sexually compatible (</w:t>
      </w:r>
      <w:r w:rsidR="00B749A8">
        <w:t>?</w:t>
      </w:r>
      <w:r>
        <w:t>weed) species</w:t>
      </w:r>
    </w:p>
    <w:p w14:paraId="4511C867" w14:textId="77777777" w:rsidR="00C02199" w:rsidRDefault="00C02199">
      <w:pPr>
        <w:pStyle w:val="BodyText"/>
        <w:spacing w:after="60"/>
        <w:ind w:right="109"/>
        <w:jc w:val="both"/>
      </w:pPr>
    </w:p>
    <w:p w14:paraId="5641EB7D" w14:textId="77777777" w:rsidR="00C02199" w:rsidRDefault="00C02199">
      <w:pPr>
        <w:pStyle w:val="BodyText"/>
        <w:ind w:right="109"/>
        <w:jc w:val="both"/>
      </w:pPr>
    </w:p>
    <w:p w14:paraId="39F3EC9B" w14:textId="77777777" w:rsidR="00C02199" w:rsidRDefault="00E0004E">
      <w:pPr>
        <w:pStyle w:val="BodyText"/>
        <w:ind w:right="109"/>
        <w:jc w:val="both"/>
        <w:rPr>
          <w:b/>
        </w:rPr>
      </w:pPr>
      <w:r>
        <w:rPr>
          <w:b/>
        </w:rPr>
        <w:t>Exposure characterization of GMP for intended uses</w:t>
      </w:r>
    </w:p>
    <w:p w14:paraId="5DC8DA1D" w14:textId="77777777" w:rsidR="00C02199" w:rsidRDefault="00C02199">
      <w:pPr>
        <w:pStyle w:val="BodyText"/>
        <w:ind w:right="109"/>
        <w:jc w:val="both"/>
      </w:pPr>
    </w:p>
    <w:p w14:paraId="7D646246" w14:textId="77777777" w:rsidR="00C02199" w:rsidRDefault="00E0004E">
      <w:pPr>
        <w:pStyle w:val="BodyText"/>
        <w:ind w:right="109"/>
        <w:jc w:val="both"/>
      </w:pPr>
      <w:r>
        <w:rPr>
          <w:b/>
        </w:rPr>
        <w:t xml:space="preserve">Task </w:t>
      </w:r>
      <w:r w:rsidR="00972B4E">
        <w:rPr>
          <w:b/>
        </w:rPr>
        <w:t>1</w:t>
      </w:r>
      <w:r>
        <w:t xml:space="preserve">: How can </w:t>
      </w:r>
      <w:r w:rsidR="00972B4E">
        <w:t xml:space="preserve">a </w:t>
      </w:r>
      <w:r>
        <w:rPr>
          <w:b/>
          <w:color w:val="ED7D31" w:themeColor="accent2"/>
        </w:rPr>
        <w:t>plausible pathway to harm</w:t>
      </w:r>
      <w:r>
        <w:rPr>
          <w:color w:val="ED7D31" w:themeColor="accent2"/>
        </w:rPr>
        <w:t xml:space="preserve"> </w:t>
      </w:r>
      <w:r>
        <w:t>be informed by the identified technical/biological elements of the exposure pattern</w:t>
      </w:r>
    </w:p>
    <w:p w14:paraId="0F1B0C2C" w14:textId="77777777" w:rsidR="00C02199" w:rsidRDefault="00C02199">
      <w:pPr>
        <w:pStyle w:val="BodyText"/>
        <w:ind w:right="109"/>
        <w:jc w:val="both"/>
      </w:pPr>
    </w:p>
    <w:p w14:paraId="1BAEA776" w14:textId="77777777" w:rsidR="00C02199" w:rsidRDefault="00972B4E">
      <w:pPr>
        <w:pStyle w:val="BodyText"/>
        <w:ind w:right="109"/>
        <w:jc w:val="both"/>
      </w:pPr>
      <w:r>
        <w:rPr>
          <w:i/>
        </w:rPr>
        <w:t>Instruction:</w:t>
      </w:r>
      <w:r w:rsidR="00E0004E">
        <w:rPr>
          <w:i/>
        </w:rPr>
        <w:t xml:space="preserve"> identify and discuss important </w:t>
      </w:r>
      <w:r>
        <w:rPr>
          <w:i/>
        </w:rPr>
        <w:t xml:space="preserve">local </w:t>
      </w:r>
      <w:r w:rsidR="00E0004E">
        <w:rPr>
          <w:i/>
        </w:rPr>
        <w:t>conditions</w:t>
      </w:r>
      <w:r>
        <w:rPr>
          <w:i/>
        </w:rPr>
        <w:t xml:space="preserve"> (probabilities)</w:t>
      </w:r>
      <w:r w:rsidR="00E0004E">
        <w:rPr>
          <w:i/>
        </w:rPr>
        <w:t xml:space="preserve"> and </w:t>
      </w:r>
      <w:r>
        <w:rPr>
          <w:i/>
        </w:rPr>
        <w:t xml:space="preserve">possible </w:t>
      </w:r>
      <w:r w:rsidR="00E0004E">
        <w:rPr>
          <w:i/>
        </w:rPr>
        <w:t>triggers</w:t>
      </w:r>
    </w:p>
    <w:p w14:paraId="165B2B8B" w14:textId="77777777" w:rsidR="006913E7" w:rsidRDefault="006913E7">
      <w:pPr>
        <w:pStyle w:val="BodyText"/>
        <w:ind w:right="109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9"/>
        <w:gridCol w:w="1979"/>
        <w:gridCol w:w="2404"/>
      </w:tblGrid>
      <w:tr w:rsidR="003D216E" w14:paraId="25F15416" w14:textId="77777777" w:rsidTr="00A92662">
        <w:trPr>
          <w:trHeight w:val="226"/>
        </w:trPr>
        <w:tc>
          <w:tcPr>
            <w:tcW w:w="4679" w:type="dxa"/>
          </w:tcPr>
          <w:p w14:paraId="42A22686" w14:textId="77777777" w:rsidR="003D216E" w:rsidRDefault="00A92662">
            <w:pPr>
              <w:pStyle w:val="BodyText"/>
              <w:ind w:right="109"/>
              <w:jc w:val="both"/>
            </w:pPr>
            <w:r>
              <w:t>Plausible pathway</w:t>
            </w:r>
          </w:p>
        </w:tc>
        <w:tc>
          <w:tcPr>
            <w:tcW w:w="1979" w:type="dxa"/>
          </w:tcPr>
          <w:p w14:paraId="61ACB0E7" w14:textId="77777777" w:rsidR="00A92662" w:rsidRDefault="00A92662" w:rsidP="00A92662">
            <w:pPr>
              <w:pStyle w:val="BodyText"/>
              <w:ind w:right="109"/>
              <w:rPr>
                <w:lang w:val="en-GB"/>
              </w:rPr>
            </w:pPr>
            <w:r>
              <w:rPr>
                <w:lang w:val="en-GB"/>
              </w:rPr>
              <w:t>What? (processes)</w:t>
            </w:r>
          </w:p>
          <w:p w14:paraId="390B8009" w14:textId="77777777" w:rsidR="003D216E" w:rsidRDefault="00A92662" w:rsidP="00A92662">
            <w:pPr>
              <w:pStyle w:val="BodyText"/>
              <w:ind w:right="109"/>
            </w:pPr>
            <w:r>
              <w:rPr>
                <w:lang w:val="en-GB"/>
              </w:rPr>
              <w:t>Where? (receiving environments)</w:t>
            </w:r>
          </w:p>
        </w:tc>
        <w:tc>
          <w:tcPr>
            <w:tcW w:w="2404" w:type="dxa"/>
          </w:tcPr>
          <w:p w14:paraId="093BA540" w14:textId="77777777" w:rsidR="003D216E" w:rsidRDefault="00E417F4" w:rsidP="00A92662">
            <w:pPr>
              <w:pStyle w:val="BodyText"/>
              <w:ind w:right="109"/>
              <w:rPr>
                <w:lang w:val="en-GB"/>
              </w:rPr>
            </w:pPr>
            <w:r>
              <w:rPr>
                <w:lang w:val="en-GB"/>
              </w:rPr>
              <w:t>How much? (probability of local occurrence)</w:t>
            </w:r>
          </w:p>
          <w:p w14:paraId="503F42C5" w14:textId="77777777" w:rsidR="00205F51" w:rsidRDefault="00205F51" w:rsidP="00A92662">
            <w:pPr>
              <w:pStyle w:val="BodyText"/>
              <w:ind w:right="109"/>
            </w:pPr>
            <w:r>
              <w:rPr>
                <w:lang w:val="en-GB"/>
              </w:rPr>
              <w:t>Possible triggers?</w:t>
            </w:r>
          </w:p>
        </w:tc>
      </w:tr>
      <w:tr w:rsidR="00A92662" w:rsidRPr="006913E7" w14:paraId="53CA6BCC" w14:textId="77777777" w:rsidTr="00A92662">
        <w:trPr>
          <w:trHeight w:val="629"/>
        </w:trPr>
        <w:tc>
          <w:tcPr>
            <w:tcW w:w="4679" w:type="dxa"/>
            <w:vMerge w:val="restart"/>
          </w:tcPr>
          <w:p w14:paraId="3633A5A3" w14:textId="77777777" w:rsidR="00A92662" w:rsidRDefault="00A92662">
            <w:pPr>
              <w:pStyle w:val="BodyText"/>
              <w:ind w:right="109"/>
              <w:rPr>
                <w:lang w:val="en-GB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2FE89FC" wp14:editId="2A0078A4">
                  <wp:extent cx="2764928" cy="3699904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8090" cy="374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66294A" w14:textId="77777777" w:rsidR="00A92662" w:rsidRDefault="00A92662">
            <w:pPr>
              <w:pStyle w:val="BodyText"/>
              <w:ind w:right="109"/>
              <w:rPr>
                <w:lang w:val="en-GB"/>
              </w:rPr>
            </w:pPr>
          </w:p>
        </w:tc>
        <w:tc>
          <w:tcPr>
            <w:tcW w:w="1979" w:type="dxa"/>
          </w:tcPr>
          <w:p w14:paraId="484AFC3C" w14:textId="77777777" w:rsidR="00A92662" w:rsidRDefault="00A92662" w:rsidP="00A92662">
            <w:pPr>
              <w:pStyle w:val="BodyText"/>
              <w:ind w:right="109"/>
            </w:pPr>
            <w:r w:rsidRPr="00205F51">
              <w:rPr>
                <w:b/>
                <w:color w:val="ED7D31" w:themeColor="accent2"/>
              </w:rPr>
              <w:t>A</w:t>
            </w:r>
            <w:r>
              <w:t xml:space="preserve"> flowering plants grow from lost seeds (ruderal area)</w:t>
            </w:r>
          </w:p>
        </w:tc>
        <w:tc>
          <w:tcPr>
            <w:tcW w:w="2404" w:type="dxa"/>
          </w:tcPr>
          <w:p w14:paraId="7FBB697A" w14:textId="77777777" w:rsidR="00A92662" w:rsidRDefault="00A92662" w:rsidP="00A92662">
            <w:pPr>
              <w:pStyle w:val="BodyText"/>
              <w:ind w:right="109"/>
              <w:rPr>
                <w:noProof/>
                <w:lang w:eastAsia="de-DE"/>
              </w:rPr>
            </w:pPr>
          </w:p>
        </w:tc>
      </w:tr>
      <w:tr w:rsidR="00A92662" w:rsidRPr="006913E7" w14:paraId="65F549AF" w14:textId="77777777" w:rsidTr="00A92662">
        <w:trPr>
          <w:trHeight w:val="627"/>
        </w:trPr>
        <w:tc>
          <w:tcPr>
            <w:tcW w:w="4679" w:type="dxa"/>
            <w:vMerge/>
          </w:tcPr>
          <w:p w14:paraId="17966254" w14:textId="77777777" w:rsidR="00A92662" w:rsidRDefault="00A92662">
            <w:pPr>
              <w:pStyle w:val="BodyText"/>
              <w:ind w:right="109"/>
              <w:rPr>
                <w:noProof/>
                <w:lang w:eastAsia="de-DE"/>
              </w:rPr>
            </w:pPr>
          </w:p>
        </w:tc>
        <w:tc>
          <w:tcPr>
            <w:tcW w:w="1979" w:type="dxa"/>
          </w:tcPr>
          <w:p w14:paraId="7F46F599" w14:textId="77777777" w:rsidR="00A92662" w:rsidRDefault="00A92662" w:rsidP="001D4E64">
            <w:pPr>
              <w:pStyle w:val="BodyText"/>
              <w:ind w:right="109"/>
            </w:pPr>
            <w:r w:rsidRPr="00205F51">
              <w:rPr>
                <w:b/>
                <w:color w:val="ED7D31" w:themeColor="accent2"/>
              </w:rPr>
              <w:t>B</w:t>
            </w:r>
            <w:r>
              <w:t xml:space="preserve"> vertical gene</w:t>
            </w:r>
            <w:r w:rsidR="001D4E64">
              <w:t xml:space="preserve"> </w:t>
            </w:r>
            <w:r>
              <w:t>flow to crop plants</w:t>
            </w:r>
            <w:r w:rsidR="00205F51">
              <w:t xml:space="preserve"> (field)</w:t>
            </w:r>
          </w:p>
        </w:tc>
        <w:tc>
          <w:tcPr>
            <w:tcW w:w="2404" w:type="dxa"/>
          </w:tcPr>
          <w:p w14:paraId="6048DA8D" w14:textId="77777777" w:rsidR="00A92662" w:rsidRDefault="00A92662" w:rsidP="00A92662">
            <w:pPr>
              <w:pStyle w:val="BodyText"/>
              <w:ind w:right="109"/>
              <w:rPr>
                <w:noProof/>
                <w:lang w:eastAsia="de-DE"/>
              </w:rPr>
            </w:pPr>
          </w:p>
        </w:tc>
      </w:tr>
      <w:tr w:rsidR="00A92662" w:rsidRPr="006913E7" w14:paraId="10A0E7B8" w14:textId="77777777" w:rsidTr="00A92662">
        <w:trPr>
          <w:trHeight w:val="627"/>
        </w:trPr>
        <w:tc>
          <w:tcPr>
            <w:tcW w:w="4679" w:type="dxa"/>
            <w:vMerge/>
          </w:tcPr>
          <w:p w14:paraId="0E189F16" w14:textId="77777777" w:rsidR="00A92662" w:rsidRDefault="00A92662">
            <w:pPr>
              <w:pStyle w:val="BodyText"/>
              <w:ind w:right="109"/>
              <w:rPr>
                <w:noProof/>
                <w:lang w:eastAsia="de-DE"/>
              </w:rPr>
            </w:pPr>
          </w:p>
        </w:tc>
        <w:tc>
          <w:tcPr>
            <w:tcW w:w="1979" w:type="dxa"/>
          </w:tcPr>
          <w:p w14:paraId="619BC0AB" w14:textId="77777777" w:rsidR="00A92662" w:rsidRDefault="00A92662" w:rsidP="001D4E64">
            <w:pPr>
              <w:pStyle w:val="BodyText"/>
              <w:ind w:right="109"/>
            </w:pPr>
            <w:r w:rsidRPr="00205F51">
              <w:rPr>
                <w:b/>
                <w:color w:val="ED7D31" w:themeColor="accent2"/>
              </w:rPr>
              <w:t>C</w:t>
            </w:r>
            <w:r>
              <w:t xml:space="preserve"> </w:t>
            </w:r>
            <w:r w:rsidR="001D4E64">
              <w:t xml:space="preserve">dormant </w:t>
            </w:r>
            <w:r>
              <w:t>seed</w:t>
            </w:r>
            <w:r w:rsidR="001D4E64">
              <w:t xml:space="preserve">s </w:t>
            </w:r>
            <w:r w:rsidR="00205F51">
              <w:t>(field)</w:t>
            </w:r>
            <w:r>
              <w:t xml:space="preserve"> </w:t>
            </w:r>
          </w:p>
        </w:tc>
        <w:tc>
          <w:tcPr>
            <w:tcW w:w="2404" w:type="dxa"/>
          </w:tcPr>
          <w:p w14:paraId="2F3B4A5F" w14:textId="77777777" w:rsidR="00A92662" w:rsidRDefault="00A92662" w:rsidP="00A92662">
            <w:pPr>
              <w:pStyle w:val="BodyText"/>
              <w:ind w:right="109"/>
              <w:rPr>
                <w:noProof/>
                <w:lang w:eastAsia="de-DE"/>
              </w:rPr>
            </w:pPr>
          </w:p>
        </w:tc>
      </w:tr>
      <w:tr w:rsidR="00A92662" w:rsidRPr="006913E7" w14:paraId="60708241" w14:textId="77777777" w:rsidTr="00A92662">
        <w:trPr>
          <w:trHeight w:val="627"/>
        </w:trPr>
        <w:tc>
          <w:tcPr>
            <w:tcW w:w="4679" w:type="dxa"/>
            <w:vMerge/>
          </w:tcPr>
          <w:p w14:paraId="07E64315" w14:textId="77777777" w:rsidR="00A92662" w:rsidRDefault="00A92662">
            <w:pPr>
              <w:pStyle w:val="BodyText"/>
              <w:ind w:right="109"/>
              <w:rPr>
                <w:noProof/>
                <w:lang w:eastAsia="de-DE"/>
              </w:rPr>
            </w:pPr>
          </w:p>
        </w:tc>
        <w:tc>
          <w:tcPr>
            <w:tcW w:w="1979" w:type="dxa"/>
          </w:tcPr>
          <w:p w14:paraId="27A829D0" w14:textId="77777777" w:rsidR="00A92662" w:rsidRDefault="00A92662" w:rsidP="001D4E64">
            <w:pPr>
              <w:pStyle w:val="BodyText"/>
              <w:ind w:right="109"/>
            </w:pPr>
            <w:r w:rsidRPr="00205F51">
              <w:rPr>
                <w:b/>
                <w:color w:val="ED7D31" w:themeColor="accent2"/>
              </w:rPr>
              <w:t>D</w:t>
            </w:r>
            <w:r w:rsidR="00205F51">
              <w:t xml:space="preserve"> </w:t>
            </w:r>
            <w:r w:rsidR="00EA6366">
              <w:t xml:space="preserve">weedy OSR </w:t>
            </w:r>
            <w:r w:rsidR="00205F51">
              <w:t xml:space="preserve">plants (field) </w:t>
            </w:r>
          </w:p>
        </w:tc>
        <w:tc>
          <w:tcPr>
            <w:tcW w:w="2404" w:type="dxa"/>
          </w:tcPr>
          <w:p w14:paraId="7958D857" w14:textId="77777777" w:rsidR="00A92662" w:rsidRDefault="00A92662" w:rsidP="00A92662">
            <w:pPr>
              <w:pStyle w:val="BodyText"/>
              <w:ind w:right="109"/>
              <w:rPr>
                <w:noProof/>
                <w:lang w:eastAsia="de-DE"/>
              </w:rPr>
            </w:pPr>
          </w:p>
        </w:tc>
      </w:tr>
      <w:tr w:rsidR="00A92662" w:rsidRPr="006913E7" w14:paraId="54D9EE1C" w14:textId="77777777" w:rsidTr="00A92662">
        <w:trPr>
          <w:trHeight w:val="627"/>
        </w:trPr>
        <w:tc>
          <w:tcPr>
            <w:tcW w:w="4679" w:type="dxa"/>
            <w:vMerge/>
          </w:tcPr>
          <w:p w14:paraId="5741F32B" w14:textId="77777777" w:rsidR="00A92662" w:rsidRDefault="00A92662">
            <w:pPr>
              <w:pStyle w:val="BodyText"/>
              <w:ind w:right="109"/>
              <w:rPr>
                <w:noProof/>
                <w:lang w:eastAsia="de-DE"/>
              </w:rPr>
            </w:pPr>
          </w:p>
        </w:tc>
        <w:tc>
          <w:tcPr>
            <w:tcW w:w="1979" w:type="dxa"/>
          </w:tcPr>
          <w:p w14:paraId="181AA69E" w14:textId="77777777" w:rsidR="00A92662" w:rsidRDefault="00A92662" w:rsidP="001D4E64">
            <w:pPr>
              <w:pStyle w:val="BodyText"/>
              <w:ind w:right="109"/>
            </w:pPr>
            <w:r w:rsidRPr="00205F51">
              <w:rPr>
                <w:b/>
                <w:color w:val="ED7D31" w:themeColor="accent2"/>
              </w:rPr>
              <w:t>E</w:t>
            </w:r>
            <w:r w:rsidR="00205F51">
              <w:t xml:space="preserve"> </w:t>
            </w:r>
            <w:r w:rsidR="00EA6366">
              <w:t xml:space="preserve">OSR plant survives </w:t>
            </w:r>
            <w:r w:rsidR="001D4E64">
              <w:t xml:space="preserve">use of respective </w:t>
            </w:r>
            <w:r w:rsidR="00EA6366">
              <w:t xml:space="preserve">herbicide </w:t>
            </w:r>
            <w:r w:rsidR="00205F51">
              <w:t xml:space="preserve">(field) = harm </w:t>
            </w:r>
          </w:p>
        </w:tc>
        <w:tc>
          <w:tcPr>
            <w:tcW w:w="2404" w:type="dxa"/>
          </w:tcPr>
          <w:p w14:paraId="5176C7C0" w14:textId="77777777" w:rsidR="00A92662" w:rsidRDefault="00A92662" w:rsidP="00A92662">
            <w:pPr>
              <w:pStyle w:val="BodyText"/>
              <w:ind w:right="109"/>
              <w:rPr>
                <w:noProof/>
                <w:lang w:eastAsia="de-DE"/>
              </w:rPr>
            </w:pPr>
          </w:p>
        </w:tc>
      </w:tr>
    </w:tbl>
    <w:p w14:paraId="47908E73" w14:textId="77777777" w:rsidR="00C02199" w:rsidRDefault="00C02199">
      <w:pPr>
        <w:pStyle w:val="BodyText"/>
        <w:ind w:right="109"/>
        <w:jc w:val="both"/>
      </w:pPr>
    </w:p>
    <w:p w14:paraId="0FB5A94C" w14:textId="77777777" w:rsidR="00C02199" w:rsidRDefault="00C02199">
      <w:pPr>
        <w:pStyle w:val="BodyText"/>
        <w:ind w:right="109"/>
        <w:jc w:val="both"/>
      </w:pPr>
    </w:p>
    <w:p w14:paraId="472C8214" w14:textId="77777777" w:rsidR="00C02199" w:rsidRDefault="00E0004E">
      <w:pPr>
        <w:pStyle w:val="BodyText"/>
        <w:ind w:right="109"/>
        <w:jc w:val="both"/>
        <w:rPr>
          <w:b/>
        </w:rPr>
      </w:pPr>
      <w:r>
        <w:rPr>
          <w:b/>
        </w:rPr>
        <w:lastRenderedPageBreak/>
        <w:t>Contribution of identified exposure characteristics in risk assessment</w:t>
      </w:r>
    </w:p>
    <w:p w14:paraId="11871F52" w14:textId="77777777" w:rsidR="00C02199" w:rsidRDefault="00C02199">
      <w:pPr>
        <w:pStyle w:val="BodyText"/>
        <w:ind w:right="109"/>
        <w:jc w:val="both"/>
      </w:pPr>
    </w:p>
    <w:p w14:paraId="07C94F67" w14:textId="77777777" w:rsidR="00C02199" w:rsidRDefault="00E0004E">
      <w:pPr>
        <w:pStyle w:val="BodyText"/>
        <w:ind w:right="109"/>
        <w:jc w:val="both"/>
      </w:pPr>
      <w:r>
        <w:rPr>
          <w:b/>
        </w:rPr>
        <w:t xml:space="preserve">Task </w:t>
      </w:r>
      <w:r w:rsidR="00972B4E">
        <w:rPr>
          <w:b/>
        </w:rPr>
        <w:t>2</w:t>
      </w:r>
      <w:r>
        <w:t>: Describe the contribution of identified exposure characteristics in the formula quantifying the Environmental risk given as: Risk = Hazard x Likelihood of hazard arising</w:t>
      </w:r>
    </w:p>
    <w:p w14:paraId="50F7E840" w14:textId="77777777" w:rsidR="00C02199" w:rsidRDefault="00C02199">
      <w:pPr>
        <w:spacing w:after="0" w:line="240" w:lineRule="auto"/>
        <w:rPr>
          <w:lang w:val="en-US"/>
        </w:rPr>
      </w:pPr>
    </w:p>
    <w:p w14:paraId="5195C42D" w14:textId="77777777" w:rsidR="00C02199" w:rsidRDefault="00972B4E">
      <w:pPr>
        <w:spacing w:after="0" w:line="240" w:lineRule="auto"/>
        <w:rPr>
          <w:lang w:val="en-GB"/>
        </w:rPr>
      </w:pPr>
      <w:r>
        <w:rPr>
          <w:i/>
          <w:lang w:val="en-GB"/>
        </w:rPr>
        <w:t>Instruction</w:t>
      </w:r>
      <w:r w:rsidR="00E0004E">
        <w:rPr>
          <w:i/>
          <w:lang w:val="en-GB"/>
        </w:rPr>
        <w:t>: con</w:t>
      </w:r>
      <w:r w:rsidR="00EA6366">
        <w:rPr>
          <w:i/>
          <w:lang w:val="en-GB"/>
        </w:rPr>
        <w:t xml:space="preserve">clude for probabilities discussed for </w:t>
      </w:r>
      <w:r w:rsidR="00E0004E">
        <w:rPr>
          <w:i/>
          <w:lang w:val="en-GB"/>
        </w:rPr>
        <w:t xml:space="preserve">pathway </w:t>
      </w:r>
      <w:r w:rsidR="00EA6366">
        <w:rPr>
          <w:i/>
          <w:lang w:val="en-GB"/>
        </w:rPr>
        <w:t xml:space="preserve">OSR 1 </w:t>
      </w:r>
      <w:r>
        <w:rPr>
          <w:i/>
          <w:lang w:val="en-GB"/>
        </w:rPr>
        <w:t>in</w:t>
      </w:r>
      <w:r w:rsidR="00E0004E">
        <w:rPr>
          <w:i/>
          <w:lang w:val="en-GB"/>
        </w:rPr>
        <w:t xml:space="preserve"> Task </w:t>
      </w:r>
      <w:r>
        <w:rPr>
          <w:i/>
          <w:lang w:val="en-GB"/>
        </w:rPr>
        <w:t>1</w:t>
      </w:r>
      <w:r w:rsidR="00E0004E">
        <w:rPr>
          <w:i/>
          <w:lang w:val="en-GB"/>
        </w:rPr>
        <w:t xml:space="preserve"> </w:t>
      </w:r>
      <w:r>
        <w:rPr>
          <w:i/>
          <w:lang w:val="en-GB"/>
        </w:rPr>
        <w:t>(</w:t>
      </w:r>
      <w:r w:rsidR="00E0004E">
        <w:rPr>
          <w:i/>
          <w:lang w:val="en-GB"/>
        </w:rPr>
        <w:t>prepared scheme</w:t>
      </w:r>
      <w:r>
        <w:rPr>
          <w:i/>
          <w:lang w:val="en-GB"/>
        </w:rPr>
        <w:t>)</w:t>
      </w:r>
    </w:p>
    <w:p w14:paraId="7993E5E2" w14:textId="77777777" w:rsidR="00C02199" w:rsidRPr="00972B4E" w:rsidRDefault="00C02199">
      <w:pPr>
        <w:spacing w:after="0" w:line="240" w:lineRule="auto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567"/>
        <w:gridCol w:w="2693"/>
      </w:tblGrid>
      <w:tr w:rsidR="00C02199" w14:paraId="24680DF6" w14:textId="77777777">
        <w:tc>
          <w:tcPr>
            <w:tcW w:w="2122" w:type="dxa"/>
          </w:tcPr>
          <w:p w14:paraId="39E712C0" w14:textId="77777777" w:rsidR="00C02199" w:rsidRDefault="00B749A8">
            <w:pPr>
              <w:pStyle w:val="BodyText"/>
              <w:ind w:right="109"/>
              <w:jc w:val="both"/>
            </w:pPr>
            <w:r>
              <w:t>P&amp;I</w:t>
            </w:r>
          </w:p>
        </w:tc>
        <w:tc>
          <w:tcPr>
            <w:tcW w:w="3260" w:type="dxa"/>
            <w:gridSpan w:val="2"/>
          </w:tcPr>
          <w:p w14:paraId="70C72F22" w14:textId="77777777" w:rsidR="00C02199" w:rsidRDefault="00E07F1A">
            <w:pPr>
              <w:pStyle w:val="BodyText"/>
              <w:ind w:right="109"/>
              <w:jc w:val="both"/>
            </w:pPr>
            <w:r>
              <w:t>Pathway OSR1</w:t>
            </w:r>
          </w:p>
        </w:tc>
      </w:tr>
      <w:tr w:rsidR="00C02199" w14:paraId="2B6A95FF" w14:textId="77777777">
        <w:trPr>
          <w:trHeight w:val="36"/>
        </w:trPr>
        <w:tc>
          <w:tcPr>
            <w:tcW w:w="2122" w:type="dxa"/>
            <w:vMerge w:val="restart"/>
          </w:tcPr>
          <w:p w14:paraId="46EC4B57" w14:textId="77777777" w:rsidR="00C02199" w:rsidRDefault="00E0004E">
            <w:pPr>
              <w:pStyle w:val="BodyText"/>
              <w:ind w:right="109"/>
              <w:rPr>
                <w:lang w:val="en-GB"/>
              </w:rPr>
            </w:pPr>
            <w:r>
              <w:rPr>
                <w:lang w:val="en-GB"/>
              </w:rPr>
              <w:t xml:space="preserve">Contribution of identified exposure characteristics: </w:t>
            </w:r>
          </w:p>
          <w:p w14:paraId="7213328D" w14:textId="77777777" w:rsidR="00C02199" w:rsidRDefault="00C02199">
            <w:pPr>
              <w:pStyle w:val="BodyText"/>
              <w:ind w:right="109"/>
              <w:rPr>
                <w:lang w:val="en-GB"/>
              </w:rPr>
            </w:pPr>
          </w:p>
          <w:p w14:paraId="65874547" w14:textId="77777777" w:rsidR="00C02199" w:rsidRDefault="00E0004E">
            <w:pPr>
              <w:pStyle w:val="BodyText"/>
              <w:ind w:right="109"/>
              <w:rPr>
                <w:b/>
                <w:lang w:val="en-GB"/>
              </w:rPr>
            </w:pPr>
            <w:r>
              <w:rPr>
                <w:b/>
                <w:color w:val="FF9900"/>
                <w:lang w:val="en-GB"/>
              </w:rPr>
              <w:t>exposition based probability</w:t>
            </w:r>
          </w:p>
        </w:tc>
        <w:tc>
          <w:tcPr>
            <w:tcW w:w="567" w:type="dxa"/>
          </w:tcPr>
          <w:p w14:paraId="1179B0F4" w14:textId="77777777" w:rsidR="00C02199" w:rsidRDefault="00C02199">
            <w:pPr>
              <w:pStyle w:val="BodyText"/>
              <w:ind w:right="109"/>
              <w:jc w:val="both"/>
            </w:pPr>
          </w:p>
        </w:tc>
        <w:tc>
          <w:tcPr>
            <w:tcW w:w="2693" w:type="dxa"/>
            <w:vAlign w:val="center"/>
          </w:tcPr>
          <w:p w14:paraId="0486334C" w14:textId="77777777" w:rsidR="00C02199" w:rsidRDefault="00E0004E">
            <w:pPr>
              <w:pStyle w:val="BodyText"/>
              <w:ind w:right="109"/>
            </w:pPr>
            <w:r>
              <w:t>Very low (not detectable)</w:t>
            </w:r>
          </w:p>
        </w:tc>
      </w:tr>
      <w:tr w:rsidR="00C02199" w14:paraId="58F83D7A" w14:textId="77777777">
        <w:trPr>
          <w:trHeight w:val="36"/>
        </w:trPr>
        <w:tc>
          <w:tcPr>
            <w:tcW w:w="2122" w:type="dxa"/>
            <w:vMerge/>
          </w:tcPr>
          <w:p w14:paraId="330911A2" w14:textId="77777777" w:rsidR="00C02199" w:rsidRDefault="00C02199">
            <w:pPr>
              <w:pStyle w:val="BodyText"/>
              <w:ind w:right="109"/>
              <w:rPr>
                <w:lang w:val="en-GB"/>
              </w:rPr>
            </w:pPr>
          </w:p>
        </w:tc>
        <w:tc>
          <w:tcPr>
            <w:tcW w:w="567" w:type="dxa"/>
          </w:tcPr>
          <w:p w14:paraId="7DF63DF4" w14:textId="77777777" w:rsidR="00C02199" w:rsidRDefault="00C02199">
            <w:pPr>
              <w:pStyle w:val="BodyText"/>
              <w:ind w:right="109"/>
              <w:jc w:val="both"/>
            </w:pPr>
          </w:p>
        </w:tc>
        <w:tc>
          <w:tcPr>
            <w:tcW w:w="2693" w:type="dxa"/>
            <w:vAlign w:val="center"/>
          </w:tcPr>
          <w:p w14:paraId="6AB3AC21" w14:textId="77777777" w:rsidR="00C02199" w:rsidRDefault="00E0004E">
            <w:pPr>
              <w:pStyle w:val="BodyText"/>
              <w:ind w:right="109"/>
            </w:pPr>
            <w:r>
              <w:t>Low</w:t>
            </w:r>
          </w:p>
          <w:p w14:paraId="09DF5CD0" w14:textId="77777777" w:rsidR="00C02199" w:rsidRDefault="00C02199">
            <w:pPr>
              <w:pStyle w:val="BodyText"/>
              <w:ind w:right="109"/>
            </w:pPr>
          </w:p>
        </w:tc>
      </w:tr>
      <w:tr w:rsidR="00C02199" w14:paraId="6CD37732" w14:textId="77777777">
        <w:trPr>
          <w:trHeight w:val="36"/>
        </w:trPr>
        <w:tc>
          <w:tcPr>
            <w:tcW w:w="2122" w:type="dxa"/>
            <w:vMerge/>
          </w:tcPr>
          <w:p w14:paraId="465B47B6" w14:textId="77777777" w:rsidR="00C02199" w:rsidRDefault="00C02199">
            <w:pPr>
              <w:pStyle w:val="BodyText"/>
              <w:ind w:right="109"/>
              <w:rPr>
                <w:lang w:val="en-GB"/>
              </w:rPr>
            </w:pPr>
          </w:p>
        </w:tc>
        <w:tc>
          <w:tcPr>
            <w:tcW w:w="567" w:type="dxa"/>
          </w:tcPr>
          <w:p w14:paraId="36DAFB84" w14:textId="77777777" w:rsidR="00C02199" w:rsidRDefault="00C02199">
            <w:pPr>
              <w:pStyle w:val="BodyText"/>
              <w:ind w:right="109"/>
              <w:jc w:val="both"/>
            </w:pPr>
          </w:p>
        </w:tc>
        <w:tc>
          <w:tcPr>
            <w:tcW w:w="2693" w:type="dxa"/>
            <w:vAlign w:val="center"/>
          </w:tcPr>
          <w:p w14:paraId="09EFCE19" w14:textId="77777777" w:rsidR="00C02199" w:rsidRDefault="00E0004E">
            <w:pPr>
              <w:pStyle w:val="BodyText"/>
              <w:ind w:right="109"/>
            </w:pPr>
            <w:r>
              <w:t>Medium</w:t>
            </w:r>
          </w:p>
          <w:p w14:paraId="4FC25213" w14:textId="77777777" w:rsidR="00C02199" w:rsidRDefault="00C02199">
            <w:pPr>
              <w:pStyle w:val="BodyText"/>
              <w:ind w:right="109"/>
            </w:pPr>
          </w:p>
        </w:tc>
      </w:tr>
      <w:tr w:rsidR="00C02199" w14:paraId="0656A1E8" w14:textId="77777777">
        <w:trPr>
          <w:trHeight w:val="36"/>
        </w:trPr>
        <w:tc>
          <w:tcPr>
            <w:tcW w:w="2122" w:type="dxa"/>
            <w:vMerge/>
          </w:tcPr>
          <w:p w14:paraId="0790A045" w14:textId="77777777" w:rsidR="00C02199" w:rsidRDefault="00C02199">
            <w:pPr>
              <w:pStyle w:val="BodyText"/>
              <w:ind w:right="109"/>
              <w:rPr>
                <w:lang w:val="en-GB"/>
              </w:rPr>
            </w:pPr>
          </w:p>
        </w:tc>
        <w:tc>
          <w:tcPr>
            <w:tcW w:w="567" w:type="dxa"/>
          </w:tcPr>
          <w:p w14:paraId="52612825" w14:textId="77777777" w:rsidR="00C02199" w:rsidRDefault="00C02199">
            <w:pPr>
              <w:pStyle w:val="BodyText"/>
              <w:ind w:right="109"/>
              <w:jc w:val="both"/>
            </w:pPr>
          </w:p>
        </w:tc>
        <w:tc>
          <w:tcPr>
            <w:tcW w:w="2693" w:type="dxa"/>
            <w:vAlign w:val="center"/>
          </w:tcPr>
          <w:p w14:paraId="744DEC4E" w14:textId="77777777" w:rsidR="00C02199" w:rsidRDefault="00E0004E">
            <w:pPr>
              <w:pStyle w:val="BodyText"/>
              <w:ind w:right="109"/>
            </w:pPr>
            <w:r>
              <w:t>High</w:t>
            </w:r>
          </w:p>
          <w:p w14:paraId="6C6F5682" w14:textId="77777777" w:rsidR="00C02199" w:rsidRDefault="00C02199">
            <w:pPr>
              <w:pStyle w:val="BodyText"/>
              <w:ind w:right="109"/>
            </w:pPr>
          </w:p>
        </w:tc>
      </w:tr>
      <w:tr w:rsidR="00C02199" w:rsidRPr="006913E7" w14:paraId="6120FBBA" w14:textId="77777777">
        <w:trPr>
          <w:trHeight w:val="36"/>
        </w:trPr>
        <w:tc>
          <w:tcPr>
            <w:tcW w:w="5382" w:type="dxa"/>
            <w:gridSpan w:val="3"/>
          </w:tcPr>
          <w:p w14:paraId="448DEB51" w14:textId="77777777" w:rsidR="00C02199" w:rsidRDefault="00E0004E">
            <w:pPr>
              <w:pStyle w:val="BodyText"/>
              <w:ind w:right="109"/>
            </w:pPr>
            <w:r>
              <w:t>Formula quantifying the environmental risk:</w:t>
            </w:r>
          </w:p>
          <w:p w14:paraId="13895872" w14:textId="77777777" w:rsidR="00C02199" w:rsidRDefault="00E0004E">
            <w:pPr>
              <w:pStyle w:val="BodyText"/>
              <w:ind w:right="109"/>
            </w:pPr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0B0F9882" wp14:editId="705A5A7D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31750</wp:posOffset>
                      </wp:positionV>
                      <wp:extent cx="342000" cy="363600"/>
                      <wp:effectExtent l="19050" t="0" r="20320" b="36830"/>
                      <wp:wrapNone/>
                      <wp:docPr id="1" name="Pfeil nach unt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000" cy="36360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Pfeil nach unten 1" o:spid="_x0000_s1026" type="#_x0000_t67" style="position:absolute;margin-left:100.1pt;margin-top:2.5pt;width:26.95pt;height:2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" adj="11442" fillcolor="#ed7d31 [3205]" strokecolor="#f90" strokeweight="1pt">
                      <w10:anchorlock/>
                    </v:shape>
                  </w:pict>
                </mc:Fallback>
              </mc:AlternateContent>
            </w:r>
          </w:p>
          <w:p w14:paraId="1712D4F9" w14:textId="77777777" w:rsidR="00C02199" w:rsidRDefault="00C02199">
            <w:pPr>
              <w:pStyle w:val="BodyText"/>
              <w:ind w:right="109"/>
            </w:pPr>
          </w:p>
          <w:p w14:paraId="488119D7" w14:textId="77777777" w:rsidR="00C02199" w:rsidRDefault="00C02199">
            <w:pPr>
              <w:pStyle w:val="BodyText"/>
              <w:ind w:right="109"/>
            </w:pPr>
          </w:p>
          <w:p w14:paraId="1BC92E97" w14:textId="77777777" w:rsidR="00C02199" w:rsidRDefault="00E0004E">
            <w:pPr>
              <w:pStyle w:val="BodyText"/>
              <w:ind w:right="109"/>
            </w:pPr>
            <w:r>
              <w:t xml:space="preserve">Risk = Hazard x </w:t>
            </w:r>
            <w:r>
              <w:rPr>
                <w:b/>
                <w:color w:val="FF9900"/>
              </w:rPr>
              <w:t>Likelihood</w:t>
            </w:r>
            <w:r>
              <w:t xml:space="preserve"> of hazard arising</w:t>
            </w:r>
          </w:p>
          <w:p w14:paraId="100D1666" w14:textId="77777777" w:rsidR="00C02199" w:rsidRDefault="00C02199">
            <w:pPr>
              <w:pStyle w:val="BodyText"/>
              <w:ind w:right="109"/>
            </w:pPr>
          </w:p>
        </w:tc>
      </w:tr>
    </w:tbl>
    <w:p w14:paraId="49660302" w14:textId="77777777" w:rsidR="00C02199" w:rsidRDefault="00C02199">
      <w:pPr>
        <w:spacing w:after="0" w:line="240" w:lineRule="auto"/>
        <w:rPr>
          <w:lang w:val="en-GB"/>
        </w:rPr>
      </w:pPr>
    </w:p>
    <w:p w14:paraId="698E47E7" w14:textId="77777777" w:rsidR="00C02199" w:rsidRDefault="00C02199">
      <w:pPr>
        <w:spacing w:after="0" w:line="240" w:lineRule="auto"/>
        <w:rPr>
          <w:lang w:val="en-GB"/>
        </w:rPr>
      </w:pPr>
    </w:p>
    <w:sectPr w:rsidR="00C02199">
      <w:footerReference w:type="even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BF246" w14:textId="77777777" w:rsidR="00D03100" w:rsidRDefault="00D03100" w:rsidP="00D03100">
      <w:pPr>
        <w:spacing w:after="0" w:line="240" w:lineRule="auto"/>
      </w:pPr>
      <w:r>
        <w:separator/>
      </w:r>
    </w:p>
  </w:endnote>
  <w:endnote w:type="continuationSeparator" w:id="0">
    <w:p w14:paraId="2D90A436" w14:textId="77777777" w:rsidR="00D03100" w:rsidRDefault="00D03100" w:rsidP="00D03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5AB88" w14:textId="28D2F9F2" w:rsidR="00D03100" w:rsidRDefault="00D0310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0CB912E" wp14:editId="0ED161D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4" name="Text Box 4" descr="NSF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9E4D1C" w14:textId="34011A84" w:rsidR="00D03100" w:rsidRPr="00D03100" w:rsidRDefault="00D03100" w:rsidP="00D0310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0310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NSF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CB912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NSF Confidenti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fill o:detectmouseclick="t"/>
              <v:textbox style="mso-fit-shape-to-text:t" inset="20pt,0,0,15pt">
                <w:txbxContent>
                  <w:p w14:paraId="609E4D1C" w14:textId="34011A84" w:rsidR="00D03100" w:rsidRPr="00D03100" w:rsidRDefault="00D03100" w:rsidP="00D0310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0310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NSF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0C90" w14:textId="6A1A1349" w:rsidR="00D03100" w:rsidRDefault="00D0310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562CB96" wp14:editId="6B4C0DB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5" name="Text Box 5" descr="NSF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D4395E" w14:textId="44A991F5" w:rsidR="00D03100" w:rsidRPr="00D03100" w:rsidRDefault="00D03100" w:rsidP="00D0310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0310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NSF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62CB9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alt="NSF Confidenti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fill o:detectmouseclick="t"/>
              <v:textbox style="mso-fit-shape-to-text:t" inset="20pt,0,0,15pt">
                <w:txbxContent>
                  <w:p w14:paraId="0CD4395E" w14:textId="44A991F5" w:rsidR="00D03100" w:rsidRPr="00D03100" w:rsidRDefault="00D03100" w:rsidP="00D0310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0310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NSF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6E328" w14:textId="211CF5C9" w:rsidR="00D03100" w:rsidRDefault="00D0310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F0DEB2C" wp14:editId="7994407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2" name="Text Box 2" descr="NSF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9354E6" w14:textId="7D2CBEC3" w:rsidR="00D03100" w:rsidRPr="00D03100" w:rsidRDefault="00D03100" w:rsidP="00D0310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0310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NSF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0DEB2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NSF Confidenti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fill o:detectmouseclick="t"/>
              <v:textbox style="mso-fit-shape-to-text:t" inset="20pt,0,0,15pt">
                <w:txbxContent>
                  <w:p w14:paraId="269354E6" w14:textId="7D2CBEC3" w:rsidR="00D03100" w:rsidRPr="00D03100" w:rsidRDefault="00D03100" w:rsidP="00D0310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0310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NSF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5D600" w14:textId="77777777" w:rsidR="00D03100" w:rsidRDefault="00D03100" w:rsidP="00D03100">
      <w:pPr>
        <w:spacing w:after="0" w:line="240" w:lineRule="auto"/>
      </w:pPr>
      <w:r>
        <w:separator/>
      </w:r>
    </w:p>
  </w:footnote>
  <w:footnote w:type="continuationSeparator" w:id="0">
    <w:p w14:paraId="6FBE6B9C" w14:textId="77777777" w:rsidR="00D03100" w:rsidRDefault="00D03100" w:rsidP="00D03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7CFC"/>
    <w:multiLevelType w:val="hybridMultilevel"/>
    <w:tmpl w:val="5F5243F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2132F"/>
    <w:multiLevelType w:val="hybridMultilevel"/>
    <w:tmpl w:val="6400E3F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95D99"/>
    <w:multiLevelType w:val="hybridMultilevel"/>
    <w:tmpl w:val="5914E4F0"/>
    <w:lvl w:ilvl="0" w:tplc="5880B250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8554A"/>
    <w:multiLevelType w:val="hybridMultilevel"/>
    <w:tmpl w:val="7506EFB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474A0"/>
    <w:multiLevelType w:val="hybridMultilevel"/>
    <w:tmpl w:val="BB6E0360"/>
    <w:lvl w:ilvl="0" w:tplc="5880B250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F696A"/>
    <w:multiLevelType w:val="hybridMultilevel"/>
    <w:tmpl w:val="B928E15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5540F"/>
    <w:multiLevelType w:val="hybridMultilevel"/>
    <w:tmpl w:val="A450222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24A0E"/>
    <w:multiLevelType w:val="hybridMultilevel"/>
    <w:tmpl w:val="5DA607BE"/>
    <w:lvl w:ilvl="0" w:tplc="6696E9DC">
      <w:start w:val="1"/>
      <w:numFmt w:val="bullet"/>
      <w:lvlText w:val=""/>
      <w:lvlJc w:val="left"/>
      <w:pPr>
        <w:ind w:left="8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8" w15:restartNumberingAfterBreak="0">
    <w:nsid w:val="730379E8"/>
    <w:multiLevelType w:val="hybridMultilevel"/>
    <w:tmpl w:val="3E2EE8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990330">
    <w:abstractNumId w:val="7"/>
  </w:num>
  <w:num w:numId="2" w16cid:durableId="685712839">
    <w:abstractNumId w:val="2"/>
  </w:num>
  <w:num w:numId="3" w16cid:durableId="74475989">
    <w:abstractNumId w:val="4"/>
  </w:num>
  <w:num w:numId="4" w16cid:durableId="926888129">
    <w:abstractNumId w:val="3"/>
  </w:num>
  <w:num w:numId="5" w16cid:durableId="1346903838">
    <w:abstractNumId w:val="6"/>
  </w:num>
  <w:num w:numId="6" w16cid:durableId="1714383659">
    <w:abstractNumId w:val="0"/>
  </w:num>
  <w:num w:numId="7" w16cid:durableId="777261854">
    <w:abstractNumId w:val="8"/>
  </w:num>
  <w:num w:numId="8" w16cid:durableId="39592918">
    <w:abstractNumId w:val="1"/>
  </w:num>
  <w:num w:numId="9" w16cid:durableId="19247594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199"/>
    <w:rsid w:val="001D4E64"/>
    <w:rsid w:val="00200E09"/>
    <w:rsid w:val="00205F51"/>
    <w:rsid w:val="003D216E"/>
    <w:rsid w:val="006913E7"/>
    <w:rsid w:val="0069701A"/>
    <w:rsid w:val="00972B4E"/>
    <w:rsid w:val="00A92662"/>
    <w:rsid w:val="00AB04C5"/>
    <w:rsid w:val="00B749A8"/>
    <w:rsid w:val="00C02199"/>
    <w:rsid w:val="00D03100"/>
    <w:rsid w:val="00E0004E"/>
    <w:rsid w:val="00E07F1A"/>
    <w:rsid w:val="00E417F4"/>
    <w:rsid w:val="00EA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FCAC78"/>
  <w15:chartTrackingRefBased/>
  <w15:docId w15:val="{A382C778-3377-4966-BB73-F9B5C190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Verdana" w:eastAsia="Verdana" w:hAnsi="Verdana" w:cs="Verdana"/>
      <w:sz w:val="18"/>
      <w:szCs w:val="18"/>
      <w:lang w:val="en-US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03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9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1694</Characters>
  <Application>Microsoft Office Word</Application>
  <DocSecurity>0</DocSecurity>
  <Lines>105</Lines>
  <Paragraphs>47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BVL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Middelhoff, Dr. Ulrike</dc:creator>
  <cp:keywords/>
  <dc:description/>
  <cp:lastModifiedBy>Kristina Hristova</cp:lastModifiedBy>
  <cp:revision>7</cp:revision>
  <dcterms:created xsi:type="dcterms:W3CDTF">2021-11-23T19:17:00Z</dcterms:created>
  <dcterms:modified xsi:type="dcterms:W3CDTF">2023-11-14T15:27:00Z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5f94efabd67d9c90ed42707d2d36d52d53c66801a9d7aeca5e1fa205331a4371</vt:lpwstr>
  </property>
  <property fmtid="{D5CDD505-2E9C-101B-9397-08002B2CF9AE}" pid="3" name="ClassificationContentMarkingFooterShapeIds">
    <vt:lpwstr>2,4,5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NSF Confidential</vt:lpwstr>
  </property>
  <property fmtid="{D5CDD505-2E9C-101B-9397-08002B2CF9AE}" pid="6" name="MSIP_Label_26b518dc-1afa-45e0-aaef-f556f62dbfcd_Enabled">
    <vt:lpwstr>true</vt:lpwstr>
  </property>
  <property fmtid="{D5CDD505-2E9C-101B-9397-08002B2CF9AE}" pid="7" name="MSIP_Label_26b518dc-1afa-45e0-aaef-f556f62dbfcd_SetDate">
    <vt:lpwstr>2023-11-14T15:27:30Z</vt:lpwstr>
  </property>
  <property fmtid="{D5CDD505-2E9C-101B-9397-08002B2CF9AE}" pid="8" name="MSIP_Label_26b518dc-1afa-45e0-aaef-f556f62dbfcd_Method">
    <vt:lpwstr>Standard</vt:lpwstr>
  </property>
  <property fmtid="{D5CDD505-2E9C-101B-9397-08002B2CF9AE}" pid="9" name="MSIP_Label_26b518dc-1afa-45e0-aaef-f556f62dbfcd_Name">
    <vt:lpwstr>All-Audiences_Confidential-PROD</vt:lpwstr>
  </property>
  <property fmtid="{D5CDD505-2E9C-101B-9397-08002B2CF9AE}" pid="10" name="MSIP_Label_26b518dc-1afa-45e0-aaef-f556f62dbfcd_SiteId">
    <vt:lpwstr>400696bb-3ef5-44ed-b838-ceb5afd17d90</vt:lpwstr>
  </property>
  <property fmtid="{D5CDD505-2E9C-101B-9397-08002B2CF9AE}" pid="11" name="MSIP_Label_26b518dc-1afa-45e0-aaef-f556f62dbfcd_ActionId">
    <vt:lpwstr>70207d18-e545-496d-90ad-a28f64041768</vt:lpwstr>
  </property>
  <property fmtid="{D5CDD505-2E9C-101B-9397-08002B2CF9AE}" pid="12" name="MSIP_Label_26b518dc-1afa-45e0-aaef-f556f62dbfcd_ContentBits">
    <vt:lpwstr>2</vt:lpwstr>
  </property>
</Properties>
</file>